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7" w:type="dxa"/>
        <w:jc w:val="center"/>
        <w:tblLayout w:type="fixed"/>
        <w:tblLook w:val="0000" w:firstRow="0" w:lastRow="0" w:firstColumn="0" w:lastColumn="0" w:noHBand="0" w:noVBand="0"/>
      </w:tblPr>
      <w:tblGrid>
        <w:gridCol w:w="5427"/>
      </w:tblGrid>
      <w:tr w:rsidR="00DF368B" w:rsidTr="005435F5">
        <w:trPr>
          <w:cantSplit/>
          <w:trHeight w:val="2445"/>
          <w:jc w:val="center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:rsidR="00DF368B" w:rsidRPr="00AC3117" w:rsidRDefault="00DF368B" w:rsidP="00924734">
            <w:pPr>
              <w:pStyle w:val="2"/>
              <w:ind w:firstLine="0"/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caps/>
                <w:noProof/>
                <w:sz w:val="28"/>
                <w:szCs w:val="28"/>
              </w:rPr>
              <w:drawing>
                <wp:inline distT="0" distB="0" distL="0" distR="0" wp14:anchorId="1B3E3070" wp14:editId="3BD4F3A8">
                  <wp:extent cx="472440" cy="8001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68B" w:rsidRDefault="00DF368B" w:rsidP="00924734">
            <w:pPr>
              <w:pStyle w:val="2"/>
              <w:ind w:firstLine="0"/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администрация</w:t>
            </w:r>
          </w:p>
          <w:p w:rsidR="00DF368B" w:rsidRDefault="00DF368B" w:rsidP="00924734">
            <w:pPr>
              <w:pStyle w:val="2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УСТЬ-ТАРКСкОГО РАЙОНА</w:t>
            </w:r>
          </w:p>
          <w:p w:rsidR="00DF368B" w:rsidRDefault="00DF368B" w:rsidP="00924734">
            <w:pPr>
              <w:jc w:val="center"/>
              <w:rPr>
                <w:cap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новосибирской области</w:t>
            </w:r>
          </w:p>
          <w:p w:rsidR="00DF368B" w:rsidRPr="00CB315E" w:rsidRDefault="00DF368B" w:rsidP="00924734">
            <w:pPr>
              <w:pStyle w:val="2"/>
              <w:ind w:firstLine="0"/>
              <w:jc w:val="center"/>
            </w:pPr>
          </w:p>
        </w:tc>
      </w:tr>
    </w:tbl>
    <w:p w:rsidR="008D089D" w:rsidRDefault="008D089D"/>
    <w:p w:rsidR="00EA5060" w:rsidRDefault="00DF368B" w:rsidP="00DF368B">
      <w:pPr>
        <w:jc w:val="center"/>
        <w:rPr>
          <w:b/>
          <w:sz w:val="26"/>
          <w:szCs w:val="26"/>
        </w:rPr>
      </w:pPr>
      <w:r w:rsidRPr="00DF368B">
        <w:rPr>
          <w:b/>
          <w:sz w:val="26"/>
          <w:szCs w:val="26"/>
        </w:rPr>
        <w:t>ПОСТАНОВЛЕНИЕ</w:t>
      </w:r>
    </w:p>
    <w:p w:rsidR="00DF368B" w:rsidRDefault="00DF368B" w:rsidP="00DF368B">
      <w:pPr>
        <w:jc w:val="center"/>
        <w:rPr>
          <w:b/>
          <w:sz w:val="26"/>
          <w:szCs w:val="26"/>
        </w:rPr>
      </w:pPr>
    </w:p>
    <w:p w:rsidR="00DF368B" w:rsidRDefault="00DF368B" w:rsidP="00DF368B">
      <w:pPr>
        <w:jc w:val="center"/>
        <w:rPr>
          <w:b/>
          <w:sz w:val="28"/>
          <w:szCs w:val="28"/>
        </w:rPr>
      </w:pPr>
      <w:proofErr w:type="gramStart"/>
      <w:r w:rsidRPr="00197C5E">
        <w:rPr>
          <w:b/>
          <w:sz w:val="28"/>
          <w:szCs w:val="28"/>
        </w:rPr>
        <w:t>с</w:t>
      </w:r>
      <w:proofErr w:type="gramEnd"/>
      <w:r w:rsidRPr="00197C5E">
        <w:rPr>
          <w:b/>
          <w:sz w:val="28"/>
          <w:szCs w:val="28"/>
        </w:rPr>
        <w:t>. Усть-Тарка</w:t>
      </w:r>
    </w:p>
    <w:p w:rsidR="00197C5E" w:rsidRPr="00197C5E" w:rsidRDefault="00197C5E" w:rsidP="00DF368B">
      <w:pPr>
        <w:jc w:val="center"/>
        <w:rPr>
          <w:b/>
          <w:sz w:val="28"/>
          <w:szCs w:val="28"/>
        </w:rPr>
      </w:pPr>
    </w:p>
    <w:p w:rsidR="00DF368B" w:rsidRDefault="00DF368B" w:rsidP="00DF368B">
      <w:pPr>
        <w:tabs>
          <w:tab w:val="left" w:pos="7785"/>
        </w:tabs>
        <w:rPr>
          <w:sz w:val="28"/>
          <w:szCs w:val="28"/>
        </w:rPr>
      </w:pPr>
      <w:r w:rsidRPr="00197C5E">
        <w:rPr>
          <w:sz w:val="28"/>
          <w:szCs w:val="28"/>
        </w:rPr>
        <w:t>от 06 марта</w:t>
      </w:r>
      <w:r w:rsidR="00197C5E">
        <w:rPr>
          <w:sz w:val="28"/>
          <w:szCs w:val="28"/>
        </w:rPr>
        <w:t xml:space="preserve"> </w:t>
      </w:r>
      <w:r w:rsidRPr="00197C5E">
        <w:rPr>
          <w:sz w:val="28"/>
          <w:szCs w:val="28"/>
        </w:rPr>
        <w:t xml:space="preserve"> 2019г.</w:t>
      </w:r>
      <w:r w:rsidRPr="00197C5E">
        <w:rPr>
          <w:sz w:val="28"/>
          <w:szCs w:val="28"/>
        </w:rPr>
        <w:tab/>
        <w:t>№</w:t>
      </w:r>
      <w:r w:rsidR="00E1754F" w:rsidRPr="00197C5E">
        <w:rPr>
          <w:sz w:val="28"/>
          <w:szCs w:val="28"/>
        </w:rPr>
        <w:t xml:space="preserve"> 65</w:t>
      </w:r>
    </w:p>
    <w:p w:rsidR="00197C5E" w:rsidRPr="00197C5E" w:rsidRDefault="00197C5E" w:rsidP="00DF368B">
      <w:pPr>
        <w:tabs>
          <w:tab w:val="left" w:pos="7785"/>
        </w:tabs>
        <w:rPr>
          <w:sz w:val="28"/>
          <w:szCs w:val="28"/>
        </w:rPr>
      </w:pPr>
    </w:p>
    <w:p w:rsidR="00CF0F5C" w:rsidRDefault="00CF0F5C"/>
    <w:p w:rsidR="006C0363" w:rsidRDefault="00DF368B" w:rsidP="00DF368B">
      <w:pPr>
        <w:widowControl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DF368B">
        <w:t xml:space="preserve"> </w:t>
      </w:r>
      <w:r>
        <w:rPr>
          <w:sz w:val="28"/>
          <w:szCs w:val="28"/>
        </w:rPr>
        <w:t>п</w:t>
      </w:r>
      <w:r w:rsidRPr="00DF368B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DF368B">
        <w:rPr>
          <w:sz w:val="28"/>
          <w:szCs w:val="28"/>
        </w:rPr>
        <w:t xml:space="preserve"> реализации мероприятий по снижению задолженности по имущественным налогам (транспортный налог, налог на имущество физически лиц, земельный налог) на территории Усть-Таркского района на 2019 год.</w:t>
      </w:r>
    </w:p>
    <w:p w:rsidR="00DF368B" w:rsidRDefault="00DF368B" w:rsidP="00DF368B">
      <w:pPr>
        <w:widowControl/>
        <w:autoSpaceDE/>
        <w:autoSpaceDN/>
        <w:jc w:val="center"/>
        <w:rPr>
          <w:sz w:val="28"/>
          <w:szCs w:val="28"/>
        </w:rPr>
      </w:pPr>
    </w:p>
    <w:p w:rsidR="00DF368B" w:rsidRDefault="00DF368B" w:rsidP="00DF368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06.10.2003г. №131-ФЗ </w:t>
      </w:r>
      <w:r w:rsidR="00E1754F">
        <w:rPr>
          <w:sz w:val="28"/>
          <w:szCs w:val="28"/>
        </w:rPr>
        <w:t xml:space="preserve">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E1754F">
        <w:rPr>
          <w:sz w:val="28"/>
          <w:szCs w:val="28"/>
        </w:rPr>
        <w:t>»</w:t>
      </w:r>
      <w:r>
        <w:rPr>
          <w:sz w:val="28"/>
          <w:szCs w:val="28"/>
        </w:rPr>
        <w:t>, во исполнение пункта 1 перечня поручений Губернатора Новосибирской области Травникова А.А., данных на оперативном совещании с руководящим составом Новосибирской области 04.02.2019г., постановляет:</w:t>
      </w:r>
    </w:p>
    <w:p w:rsidR="00DF368B" w:rsidRDefault="00DF368B" w:rsidP="00DF368B">
      <w:pPr>
        <w:pStyle w:val="aa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DF368B">
        <w:rPr>
          <w:sz w:val="28"/>
          <w:szCs w:val="28"/>
        </w:rPr>
        <w:t>Утвердить план реализации мероприятий по снижению задолженности по имущественным налогам (транспортный налог, налог на имущество физически лиц, земельный налог) на территории Ус</w:t>
      </w:r>
      <w:r>
        <w:rPr>
          <w:sz w:val="28"/>
          <w:szCs w:val="28"/>
        </w:rPr>
        <w:t>ть-Таркского района на 2019 год согласно приложению.</w:t>
      </w:r>
    </w:p>
    <w:p w:rsidR="00DF368B" w:rsidRDefault="00DF368B" w:rsidP="00DF368B">
      <w:pPr>
        <w:pStyle w:val="aa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proofErr w:type="gramStart"/>
      <w:r w:rsidRPr="00DF368B">
        <w:rPr>
          <w:sz w:val="28"/>
          <w:szCs w:val="28"/>
        </w:rPr>
        <w:t>Контроль за</w:t>
      </w:r>
      <w:proofErr w:type="gramEnd"/>
      <w:r w:rsidRPr="00DF368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DF368B">
        <w:rPr>
          <w:sz w:val="28"/>
          <w:szCs w:val="28"/>
        </w:rPr>
        <w:t>Усть-Таркского</w:t>
      </w:r>
      <w:proofErr w:type="spellEnd"/>
      <w:r w:rsidRPr="00DF368B">
        <w:rPr>
          <w:sz w:val="28"/>
          <w:szCs w:val="28"/>
        </w:rPr>
        <w:t xml:space="preserve"> района В.Ф. </w:t>
      </w:r>
      <w:proofErr w:type="spellStart"/>
      <w:r w:rsidRPr="00DF368B">
        <w:rPr>
          <w:sz w:val="28"/>
          <w:szCs w:val="28"/>
        </w:rPr>
        <w:t>Эйсфельд</w:t>
      </w:r>
      <w:proofErr w:type="spellEnd"/>
      <w:r w:rsidRPr="00DF368B">
        <w:rPr>
          <w:sz w:val="28"/>
          <w:szCs w:val="28"/>
        </w:rPr>
        <w:t>.</w:t>
      </w:r>
    </w:p>
    <w:p w:rsidR="00197C5E" w:rsidRPr="00DF368B" w:rsidRDefault="00197C5E" w:rsidP="00DF368B">
      <w:pPr>
        <w:pStyle w:val="aa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Бюллетене органов местного самоуправления и на сайте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DF368B" w:rsidRPr="00DF368B" w:rsidRDefault="00DF368B" w:rsidP="00DF368B">
      <w:pPr>
        <w:pStyle w:val="aa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F368B" w:rsidRDefault="00DF368B" w:rsidP="00DF368B">
      <w:pPr>
        <w:widowControl/>
        <w:autoSpaceDE/>
        <w:autoSpaceDN/>
        <w:jc w:val="center"/>
        <w:rPr>
          <w:sz w:val="28"/>
          <w:szCs w:val="28"/>
        </w:rPr>
      </w:pPr>
    </w:p>
    <w:p w:rsidR="00DF368B" w:rsidRDefault="00DF368B" w:rsidP="00DF368B">
      <w:pPr>
        <w:widowControl/>
        <w:autoSpaceDE/>
        <w:autoSpaceDN/>
        <w:jc w:val="center"/>
        <w:rPr>
          <w:sz w:val="28"/>
          <w:szCs w:val="28"/>
        </w:rPr>
      </w:pPr>
    </w:p>
    <w:p w:rsidR="008622DA" w:rsidRDefault="008622DA" w:rsidP="008622DA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8622DA" w:rsidRDefault="008622DA" w:rsidP="008622DA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DF368B" w:rsidRDefault="00DF368B" w:rsidP="008622DA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Глава Усть-Таркского района</w:t>
      </w:r>
    </w:p>
    <w:p w:rsidR="008622DA" w:rsidRPr="00DF368B" w:rsidRDefault="00DF368B" w:rsidP="00DF368B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622DA">
        <w:rPr>
          <w:sz w:val="28"/>
          <w:szCs w:val="28"/>
        </w:rPr>
        <w:t xml:space="preserve">                                            </w:t>
      </w:r>
      <w:r w:rsidR="00197C5E">
        <w:rPr>
          <w:sz w:val="28"/>
          <w:szCs w:val="28"/>
        </w:rPr>
        <w:tab/>
      </w:r>
      <w:r w:rsidR="00197C5E">
        <w:rPr>
          <w:sz w:val="28"/>
          <w:szCs w:val="28"/>
        </w:rPr>
        <w:tab/>
      </w:r>
      <w:r w:rsidR="008622DA">
        <w:rPr>
          <w:sz w:val="28"/>
          <w:szCs w:val="28"/>
        </w:rPr>
        <w:t xml:space="preserve"> </w:t>
      </w:r>
      <w:r w:rsidR="008622DA" w:rsidRPr="00323DB4">
        <w:rPr>
          <w:sz w:val="28"/>
          <w:szCs w:val="28"/>
        </w:rPr>
        <w:t xml:space="preserve"> </w:t>
      </w:r>
      <w:r>
        <w:rPr>
          <w:sz w:val="28"/>
          <w:szCs w:val="28"/>
        </w:rPr>
        <w:t>А.П. Турлаков</w:t>
      </w:r>
    </w:p>
    <w:p w:rsidR="008622DA" w:rsidRDefault="008622DA" w:rsidP="008622DA"/>
    <w:p w:rsidR="008622DA" w:rsidRDefault="008622DA" w:rsidP="008622DA"/>
    <w:p w:rsidR="008622DA" w:rsidRDefault="008622DA" w:rsidP="008622DA"/>
    <w:p w:rsidR="008622DA" w:rsidRDefault="008622DA" w:rsidP="008622DA"/>
    <w:p w:rsidR="008622DA" w:rsidRPr="003E5765" w:rsidRDefault="008622DA" w:rsidP="008622DA"/>
    <w:p w:rsidR="008622DA" w:rsidRDefault="008622DA" w:rsidP="008622DA"/>
    <w:p w:rsidR="008622DA" w:rsidRDefault="00E1754F" w:rsidP="008622DA">
      <w:r>
        <w:t>Гридин К.С.</w:t>
      </w:r>
    </w:p>
    <w:p w:rsidR="008622DA" w:rsidRDefault="008622DA" w:rsidP="008622DA">
      <w:r>
        <w:t>Тел.: 8(383)72-22-</w:t>
      </w:r>
      <w:r w:rsidR="00E1754F">
        <w:t>332</w:t>
      </w:r>
    </w:p>
    <w:p w:rsidR="00F53843" w:rsidRDefault="00F53843" w:rsidP="007F77A1"/>
    <w:p w:rsidR="005435F5" w:rsidRDefault="005435F5" w:rsidP="007F77A1"/>
    <w:p w:rsidR="00B27E8B" w:rsidRDefault="00B27E8B" w:rsidP="007F77A1">
      <w:pPr>
        <w:sectPr w:rsidR="00B27E8B" w:rsidSect="00141A6E">
          <w:pgSz w:w="11906" w:h="16838"/>
          <w:pgMar w:top="1134" w:right="991" w:bottom="142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B27E8B" w:rsidRPr="00B27E8B" w:rsidRDefault="00B27E8B" w:rsidP="00B27E8B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  <w:szCs w:val="22"/>
          <w:lang w:eastAsia="en-US"/>
        </w:rPr>
      </w:pPr>
    </w:p>
    <w:p w:rsidR="00B27E8B" w:rsidRPr="00B27E8B" w:rsidRDefault="00B27E8B" w:rsidP="00B27E8B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  <w:szCs w:val="22"/>
          <w:lang w:eastAsia="en-US"/>
        </w:rPr>
      </w:pPr>
      <w:r w:rsidRPr="00B27E8B">
        <w:rPr>
          <w:rFonts w:eastAsia="Calibri"/>
          <w:b/>
          <w:sz w:val="24"/>
          <w:szCs w:val="22"/>
          <w:lang w:eastAsia="en-US"/>
        </w:rPr>
        <w:t>Приложение 1</w:t>
      </w:r>
    </w:p>
    <w:p w:rsidR="00B27E8B" w:rsidRPr="00B27E8B" w:rsidRDefault="00B27E8B" w:rsidP="00B27E8B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  <w:szCs w:val="22"/>
          <w:lang w:eastAsia="en-US"/>
        </w:rPr>
      </w:pPr>
      <w:r w:rsidRPr="00B27E8B">
        <w:rPr>
          <w:rFonts w:eastAsia="Calibri"/>
          <w:b/>
          <w:sz w:val="24"/>
          <w:szCs w:val="22"/>
          <w:lang w:eastAsia="en-US"/>
        </w:rPr>
        <w:t xml:space="preserve">к Постановлению Администрации </w:t>
      </w:r>
    </w:p>
    <w:p w:rsidR="00B27E8B" w:rsidRPr="00B27E8B" w:rsidRDefault="00B27E8B" w:rsidP="00B27E8B">
      <w:pPr>
        <w:widowControl/>
        <w:autoSpaceDE/>
        <w:autoSpaceDN/>
        <w:spacing w:line="259" w:lineRule="auto"/>
        <w:jc w:val="right"/>
        <w:rPr>
          <w:rFonts w:eastAsia="Calibri"/>
          <w:b/>
          <w:sz w:val="24"/>
          <w:szCs w:val="22"/>
          <w:lang w:eastAsia="en-US"/>
        </w:rPr>
      </w:pPr>
      <w:proofErr w:type="spellStart"/>
      <w:r w:rsidRPr="00B27E8B">
        <w:rPr>
          <w:rFonts w:eastAsia="Calibri"/>
          <w:b/>
          <w:sz w:val="24"/>
          <w:szCs w:val="22"/>
          <w:lang w:eastAsia="en-US"/>
        </w:rPr>
        <w:t>Усть-Таркского</w:t>
      </w:r>
      <w:proofErr w:type="spellEnd"/>
      <w:r w:rsidRPr="00B27E8B">
        <w:rPr>
          <w:rFonts w:eastAsia="Calibri"/>
          <w:b/>
          <w:sz w:val="24"/>
          <w:szCs w:val="22"/>
          <w:lang w:eastAsia="en-US"/>
        </w:rPr>
        <w:t xml:space="preserve"> района Новосибирской области</w:t>
      </w:r>
    </w:p>
    <w:p w:rsidR="00B27E8B" w:rsidRPr="00B27E8B" w:rsidRDefault="00B27E8B" w:rsidP="00B27E8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B27E8B">
        <w:rPr>
          <w:rFonts w:eastAsia="Calibri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от 06 марта 2019г. № 65   </w:t>
      </w:r>
    </w:p>
    <w:p w:rsidR="00B27E8B" w:rsidRPr="00B27E8B" w:rsidRDefault="00B27E8B" w:rsidP="00B27E8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:rsidR="00B27E8B" w:rsidRPr="00B27E8B" w:rsidRDefault="00B27E8B" w:rsidP="00B27E8B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27E8B">
        <w:rPr>
          <w:rFonts w:eastAsia="Calibri"/>
          <w:b/>
          <w:sz w:val="24"/>
          <w:szCs w:val="24"/>
          <w:lang w:eastAsia="en-US"/>
        </w:rPr>
        <w:t xml:space="preserve">План реализации мероприятий по снижению задолженности по имущественным налогам (транспортный налог, налог на имущество физически лиц, земельный налог) на территории </w:t>
      </w:r>
      <w:proofErr w:type="spellStart"/>
      <w:r w:rsidRPr="00B27E8B">
        <w:rPr>
          <w:rFonts w:eastAsia="Calibri"/>
          <w:b/>
          <w:sz w:val="24"/>
          <w:szCs w:val="24"/>
          <w:lang w:eastAsia="en-US"/>
        </w:rPr>
        <w:t>Усть-Таркского</w:t>
      </w:r>
      <w:proofErr w:type="spellEnd"/>
      <w:r w:rsidRPr="00B27E8B">
        <w:rPr>
          <w:rFonts w:eastAsia="Calibri"/>
          <w:b/>
          <w:sz w:val="24"/>
          <w:szCs w:val="24"/>
          <w:lang w:eastAsia="en-US"/>
        </w:rPr>
        <w:t xml:space="preserve"> района на 2019 год.</w:t>
      </w:r>
    </w:p>
    <w:tbl>
      <w:tblPr>
        <w:tblStyle w:val="a9"/>
        <w:tblW w:w="15301" w:type="dxa"/>
        <w:tblLook w:val="04A0" w:firstRow="1" w:lastRow="0" w:firstColumn="1" w:lastColumn="0" w:noHBand="0" w:noVBand="1"/>
      </w:tblPr>
      <w:tblGrid>
        <w:gridCol w:w="656"/>
        <w:gridCol w:w="3450"/>
        <w:gridCol w:w="1418"/>
        <w:gridCol w:w="2835"/>
        <w:gridCol w:w="1701"/>
        <w:gridCol w:w="3538"/>
        <w:gridCol w:w="7"/>
        <w:gridCol w:w="1696"/>
      </w:tblGrid>
      <w:tr w:rsidR="00B27E8B" w:rsidRPr="00B27E8B" w:rsidTr="00A43FD6">
        <w:trPr>
          <w:trHeight w:val="1034"/>
        </w:trPr>
        <w:tc>
          <w:tcPr>
            <w:tcW w:w="656" w:type="dxa"/>
            <w:vAlign w:val="center"/>
            <w:hideMark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50" w:type="dxa"/>
            <w:vAlign w:val="center"/>
            <w:hideMark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Фактическое состояние показателя на отчетную дату</w:t>
            </w: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Целевое значение показателя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b/>
                <w:sz w:val="22"/>
                <w:szCs w:val="22"/>
                <w:lang w:eastAsia="en-US"/>
              </w:rPr>
              <w:t>Информация об исполнении мероприятия</w:t>
            </w:r>
          </w:p>
        </w:tc>
      </w:tr>
      <w:tr w:rsidR="00B27E8B" w:rsidRPr="00B27E8B" w:rsidTr="00A43FD6">
        <w:trPr>
          <w:trHeight w:val="589"/>
        </w:trPr>
        <w:tc>
          <w:tcPr>
            <w:tcW w:w="656" w:type="dxa"/>
            <w:vAlign w:val="center"/>
            <w:hideMark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45" w:type="dxa"/>
            <w:gridSpan w:val="7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Мероприятия в части снижения налоговой </w:t>
            </w:r>
            <w:proofErr w:type="gramStart"/>
            <w:r w:rsidRPr="00B27E8B">
              <w:rPr>
                <w:rFonts w:eastAsia="Calibri"/>
                <w:sz w:val="22"/>
                <w:szCs w:val="22"/>
                <w:lang w:eastAsia="en-US"/>
              </w:rPr>
              <w:t>задолженности сотрудников администраций муниципальных образований района</w:t>
            </w:r>
            <w:proofErr w:type="gramEnd"/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 и бюджетных муниципальных учреждений</w:t>
            </w:r>
          </w:p>
        </w:tc>
      </w:tr>
      <w:tr w:rsidR="00B27E8B" w:rsidRPr="00B27E8B" w:rsidTr="00A43FD6">
        <w:trPr>
          <w:trHeight w:val="2796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Организация мероприятий по регистрации личных кабинетов работников на сайте www.nalog.ru в информационно </w:t>
            </w:r>
            <w:proofErr w:type="gramStart"/>
            <w:r w:rsidRPr="00B27E8B">
              <w:rPr>
                <w:rFonts w:eastAsia="Calibri"/>
                <w:sz w:val="22"/>
                <w:szCs w:val="22"/>
                <w:lang w:eastAsia="en-US"/>
              </w:rPr>
              <w:t>-т</w:t>
            </w:r>
            <w:proofErr w:type="gramEnd"/>
            <w:r w:rsidRPr="00B27E8B">
              <w:rPr>
                <w:rFonts w:eastAsia="Calibri"/>
                <w:sz w:val="22"/>
                <w:szCs w:val="22"/>
                <w:lang w:eastAsia="en-US"/>
              </w:rPr>
              <w:t>елекоммуникационной сети «Интернет»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Доля работников, подключенных к сервису «Личный кабинет налогоплательщика»,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&gt;30% 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Уплата задолженности по имущественным налогам, образовавшейся у сотрудников </w:t>
            </w:r>
            <w:proofErr w:type="gramStart"/>
            <w:r w:rsidRPr="00B27E8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 прошедших налоговых периодов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До 01.12.2019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Сумма задолженности, руб.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0,0 руб.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Предупреждение возникновения налоговой задолженности, обеспечение </w:t>
            </w:r>
            <w:proofErr w:type="gramStart"/>
            <w:r w:rsidRPr="00B27E8B">
              <w:rPr>
                <w:rFonts w:eastAsia="Calibri"/>
                <w:sz w:val="22"/>
                <w:szCs w:val="22"/>
                <w:lang w:eastAsia="en-US"/>
              </w:rPr>
              <w:t>роста собираемости имущественных налогов сотрудников администраций</w:t>
            </w:r>
            <w:proofErr w:type="gramEnd"/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 и бюджетных учреждений путем проведения разъяснительных работ и своевременного информирования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До 01.12.2019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Собираемость имущественных налогов после 01.12.2019 года,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852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645" w:type="dxa"/>
            <w:gridSpan w:val="7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 w:rsidRPr="00B27E8B">
              <w:rPr>
                <w:rFonts w:eastAsia="Calibri"/>
                <w:sz w:val="22"/>
                <w:szCs w:val="22"/>
                <w:lang w:eastAsia="en-US"/>
              </w:rPr>
              <w:t>информационно-разъяснительно</w:t>
            </w:r>
            <w:proofErr w:type="gramEnd"/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 работы о необходимости уплаты имущественных налогов в бюджетную систему Новосибирской области</w:t>
            </w:r>
          </w:p>
        </w:tc>
      </w:tr>
      <w:tr w:rsidR="00B27E8B" w:rsidRPr="00B27E8B" w:rsidTr="00A43FD6">
        <w:trPr>
          <w:trHeight w:val="710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граждан о сроке и порядках уплаты имущественных налогов путем размещения материалов в средствах массовой информации, Интернет-ресурсах (с привлечением социальных сетей и </w:t>
            </w:r>
            <w:proofErr w:type="spellStart"/>
            <w:r w:rsidRPr="00B27E8B">
              <w:rPr>
                <w:rFonts w:eastAsia="Calibri"/>
                <w:sz w:val="22"/>
                <w:szCs w:val="22"/>
                <w:lang w:eastAsia="en-US"/>
              </w:rPr>
              <w:t>мессенджеров</w:t>
            </w:r>
            <w:proofErr w:type="spellEnd"/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), в местах массового скопления людей, в том числе в общественном транспорте. </w:t>
            </w:r>
          </w:p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i/>
                <w:sz w:val="22"/>
                <w:szCs w:val="22"/>
                <w:lang w:eastAsia="en-US"/>
              </w:rPr>
              <w:t xml:space="preserve">В сельских поселениях организовать подомовой обход и сходы граждан 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До 01.12.2019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Собираемость имущественных налогов после 01.12.2019 года,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val="en-US" w:eastAsia="en-US"/>
              </w:rPr>
              <w:t>&gt;</w:t>
            </w:r>
            <w:r w:rsidRPr="00B27E8B">
              <w:rPr>
                <w:rFonts w:eastAsia="Calibri"/>
                <w:sz w:val="22"/>
                <w:szCs w:val="22"/>
                <w:lang w:eastAsia="en-US"/>
              </w:rPr>
              <w:t>92,5%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710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Организация совещаний и круглых столов о важности предупреждения образования недоимки по имущественным налогам физических лиц на площадках крупных предприятий и организаций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Собираемость имущественных налогов после 01.12.2019 года,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val="en-US" w:eastAsia="en-US"/>
              </w:rPr>
              <w:t>&gt;</w:t>
            </w:r>
            <w:r w:rsidRPr="00B27E8B">
              <w:rPr>
                <w:rFonts w:eastAsia="Calibri"/>
                <w:sz w:val="22"/>
                <w:szCs w:val="22"/>
                <w:lang w:eastAsia="en-US"/>
              </w:rPr>
              <w:t>92,5%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B27E8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Популяризация сервиса «Личный кабинет налогоплательщика» с информированием о функционале и возможностях данного Интернет-ресурса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Темп роста количества граждан, зарегистрированных в сервисе  «Личный кабинет налогоплательщика» (к итогу 2018 года),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&gt;111,1%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Организовать сходы граждан, желающих подключиться к сервису «Личный кабинет налогоплательщика», с приглашением сотрудника налоговой службы с целью вручения логинов и </w:t>
            </w:r>
            <w:r w:rsidRPr="00B27E8B">
              <w:rPr>
                <w:rFonts w:eastAsia="Calibri"/>
                <w:i/>
                <w:sz w:val="22"/>
                <w:szCs w:val="22"/>
                <w:lang w:eastAsia="en-US"/>
              </w:rPr>
              <w:t>паролей (мероприятие для сельских поселений)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До 01.07.2019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Темп роста количества граждан, зарегистрированных в сервисе  «Личный кабинет налогоплательщика» (к итогу 2018 года),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&gt;111,1%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2.3.2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Предоставить техническую возможность печати налоговых уведомлений из  сервиса «Личный кабинет </w:t>
            </w:r>
            <w:r w:rsidRPr="00B27E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налогоплательщика» гражданам, у которых отсутствует доступ к домашнему Интернету </w:t>
            </w:r>
            <w:r w:rsidRPr="00B27E8B">
              <w:rPr>
                <w:rFonts w:eastAsia="Calibri"/>
                <w:i/>
                <w:sz w:val="22"/>
                <w:szCs w:val="22"/>
                <w:lang w:eastAsia="en-US"/>
              </w:rPr>
              <w:t>(мероприятие для сельских поселений)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lastRenderedPageBreak/>
              <w:t>С 01.09.2019 по 01.12.2019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Темп роста количества граждан, зарегистрированных в сервисе  «Личный кабинет </w:t>
            </w:r>
            <w:r w:rsidRPr="00B27E8B">
              <w:rPr>
                <w:rFonts w:eastAsia="Calibri"/>
                <w:sz w:val="22"/>
                <w:szCs w:val="22"/>
                <w:lang w:eastAsia="en-US"/>
              </w:rPr>
              <w:lastRenderedPageBreak/>
              <w:t>налогоплательщика» (к итогу 2018 года),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&gt;111,1%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3450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Организовать уведомление граждан о необходимости получения налоговых уведомлений в почтовых отделениях 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iCs/>
                <w:sz w:val="22"/>
                <w:szCs w:val="22"/>
                <w:lang w:eastAsia="en-US"/>
              </w:rPr>
              <w:t>На постоянной основе, но не позднее 01.12.2019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iCs/>
                <w:sz w:val="22"/>
                <w:szCs w:val="22"/>
                <w:lang w:eastAsia="en-US"/>
              </w:rPr>
              <w:t>Доля налоговых уведомлений, доставленных и врученных гражданам, %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val="en-US" w:eastAsia="en-US"/>
              </w:rPr>
              <w:t>&gt;</w:t>
            </w:r>
            <w:r w:rsidRPr="00B27E8B">
              <w:rPr>
                <w:rFonts w:eastAsia="Calibri"/>
                <w:sz w:val="22"/>
                <w:szCs w:val="22"/>
                <w:lang w:eastAsia="en-US"/>
              </w:rPr>
              <w:t>93,7%</w:t>
            </w:r>
          </w:p>
        </w:tc>
        <w:tc>
          <w:tcPr>
            <w:tcW w:w="1703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45" w:type="dxa"/>
            <w:gridSpan w:val="7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Общие мероприятия</w:t>
            </w: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450" w:type="dxa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Проводить мониторинг текущей задолженности физических лиц по </w:t>
            </w:r>
            <w:proofErr w:type="gramStart"/>
            <w:r w:rsidRPr="00B27E8B">
              <w:rPr>
                <w:rFonts w:eastAsia="Calibri"/>
                <w:sz w:val="22"/>
                <w:szCs w:val="22"/>
                <w:lang w:eastAsia="en-US"/>
              </w:rPr>
              <w:t>имущественными</w:t>
            </w:r>
            <w:proofErr w:type="gramEnd"/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 налогам с выявлением причин ее снижения (роста) 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Наличие отчета</w:t>
            </w:r>
          </w:p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450" w:type="dxa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Подвести итоги собираемости имущественных налогов с физических лиц в 2019 году с выделением факторов, повлиявших на сложившийся показатель </w:t>
            </w:r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До 15.01.2020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Наличие отчета</w:t>
            </w:r>
          </w:p>
        </w:tc>
        <w:tc>
          <w:tcPr>
            <w:tcW w:w="169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E8B" w:rsidRPr="00B27E8B" w:rsidTr="00A43FD6">
        <w:trPr>
          <w:trHeight w:val="674"/>
        </w:trPr>
        <w:tc>
          <w:tcPr>
            <w:tcW w:w="65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450" w:type="dxa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27E8B">
              <w:rPr>
                <w:rFonts w:eastAsia="Calibri"/>
                <w:sz w:val="22"/>
                <w:szCs w:val="22"/>
                <w:lang w:eastAsia="en-US"/>
              </w:rPr>
              <w:t xml:space="preserve">Ранжировать муниципальные образования по темпу снижения задолженности физических лиц по имущественных налогам, а также по показателю собираемости за 2019 год </w:t>
            </w:r>
            <w:r w:rsidRPr="00B27E8B">
              <w:rPr>
                <w:rFonts w:eastAsia="Calibri"/>
                <w:i/>
                <w:sz w:val="22"/>
                <w:szCs w:val="22"/>
                <w:lang w:eastAsia="en-US"/>
              </w:rPr>
              <w:t>(мероприятие для муниципального района)</w:t>
            </w:r>
            <w:proofErr w:type="gramEnd"/>
          </w:p>
        </w:tc>
        <w:tc>
          <w:tcPr>
            <w:tcW w:w="1418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До 15.01.2020</w:t>
            </w:r>
          </w:p>
        </w:tc>
        <w:tc>
          <w:tcPr>
            <w:tcW w:w="2835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  <w:tc>
          <w:tcPr>
            <w:tcW w:w="1701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B27E8B">
              <w:rPr>
                <w:rFonts w:eastAsia="Calibri"/>
                <w:sz w:val="22"/>
                <w:szCs w:val="22"/>
                <w:lang w:eastAsia="en-US"/>
              </w:rPr>
              <w:t>Наличие отчета</w:t>
            </w:r>
          </w:p>
        </w:tc>
        <w:tc>
          <w:tcPr>
            <w:tcW w:w="1696" w:type="dxa"/>
            <w:vAlign w:val="center"/>
          </w:tcPr>
          <w:p w:rsidR="00B27E8B" w:rsidRPr="00B27E8B" w:rsidRDefault="00B27E8B" w:rsidP="00B27E8B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27E8B" w:rsidRPr="00B27E8B" w:rsidRDefault="00B27E8B" w:rsidP="00B27E8B">
      <w:pPr>
        <w:widowControl/>
        <w:autoSpaceDE/>
        <w:autoSpaceDN/>
        <w:spacing w:line="259" w:lineRule="auto"/>
        <w:jc w:val="both"/>
        <w:rPr>
          <w:rFonts w:eastAsia="Calibri"/>
          <w:b/>
          <w:sz w:val="6"/>
          <w:szCs w:val="22"/>
          <w:lang w:eastAsia="en-US"/>
        </w:rPr>
      </w:pPr>
    </w:p>
    <w:p w:rsidR="00B27E8B" w:rsidRPr="00B27E8B" w:rsidRDefault="00B27E8B" w:rsidP="00B27E8B">
      <w:pPr>
        <w:widowControl/>
        <w:autoSpaceDE/>
        <w:autoSpaceDN/>
        <w:spacing w:line="259" w:lineRule="auto"/>
        <w:rPr>
          <w:rFonts w:eastAsia="Calibri"/>
          <w:szCs w:val="22"/>
          <w:lang w:eastAsia="en-US"/>
        </w:rPr>
      </w:pPr>
    </w:p>
    <w:p w:rsidR="00B27E8B" w:rsidRPr="00B27E8B" w:rsidRDefault="00B27E8B" w:rsidP="00B27E8B">
      <w:pPr>
        <w:widowControl/>
        <w:tabs>
          <w:tab w:val="left" w:pos="2280"/>
        </w:tabs>
        <w:autoSpaceDE/>
        <w:autoSpaceDN/>
        <w:spacing w:after="160" w:line="259" w:lineRule="auto"/>
        <w:rPr>
          <w:rFonts w:eastAsia="Calibri"/>
          <w:szCs w:val="22"/>
          <w:lang w:eastAsia="en-US"/>
        </w:rPr>
      </w:pPr>
      <w:r w:rsidRPr="00B27E8B">
        <w:rPr>
          <w:rFonts w:eastAsia="Calibri"/>
          <w:szCs w:val="22"/>
          <w:lang w:eastAsia="en-US"/>
        </w:rPr>
        <w:tab/>
      </w:r>
    </w:p>
    <w:p w:rsidR="00197C5E" w:rsidRDefault="00197C5E" w:rsidP="007F77A1"/>
    <w:sectPr w:rsidR="00197C5E" w:rsidSect="005C2BB8">
      <w:pgSz w:w="16838" w:h="11906" w:orient="landscape"/>
      <w:pgMar w:top="426" w:right="851" w:bottom="426" w:left="85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5886"/>
    <w:multiLevelType w:val="hybridMultilevel"/>
    <w:tmpl w:val="7F9AB0AA"/>
    <w:lvl w:ilvl="0" w:tplc="E7925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9656E2"/>
    <w:multiLevelType w:val="hybridMultilevel"/>
    <w:tmpl w:val="FE7A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378A3"/>
    <w:multiLevelType w:val="hybridMultilevel"/>
    <w:tmpl w:val="5E34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8F"/>
    <w:rsid w:val="000247CF"/>
    <w:rsid w:val="00030B83"/>
    <w:rsid w:val="00041393"/>
    <w:rsid w:val="0006165C"/>
    <w:rsid w:val="000F30C2"/>
    <w:rsid w:val="00141A6E"/>
    <w:rsid w:val="00197C5E"/>
    <w:rsid w:val="002406A1"/>
    <w:rsid w:val="00292681"/>
    <w:rsid w:val="002C3F5D"/>
    <w:rsid w:val="002E1000"/>
    <w:rsid w:val="00343BD5"/>
    <w:rsid w:val="003546E7"/>
    <w:rsid w:val="003A7D4B"/>
    <w:rsid w:val="003B2E9A"/>
    <w:rsid w:val="003E5765"/>
    <w:rsid w:val="00462C39"/>
    <w:rsid w:val="004F2C90"/>
    <w:rsid w:val="005435F5"/>
    <w:rsid w:val="005929E0"/>
    <w:rsid w:val="006608E3"/>
    <w:rsid w:val="00671120"/>
    <w:rsid w:val="006C0363"/>
    <w:rsid w:val="007039D1"/>
    <w:rsid w:val="00710E40"/>
    <w:rsid w:val="007352A2"/>
    <w:rsid w:val="007534AB"/>
    <w:rsid w:val="0077012E"/>
    <w:rsid w:val="007C5543"/>
    <w:rsid w:val="007C624C"/>
    <w:rsid w:val="007F77A1"/>
    <w:rsid w:val="008622DA"/>
    <w:rsid w:val="008D089D"/>
    <w:rsid w:val="00924734"/>
    <w:rsid w:val="009535B2"/>
    <w:rsid w:val="00971AED"/>
    <w:rsid w:val="009C15EC"/>
    <w:rsid w:val="009C5674"/>
    <w:rsid w:val="00A048A9"/>
    <w:rsid w:val="00A06450"/>
    <w:rsid w:val="00A2325F"/>
    <w:rsid w:val="00A24890"/>
    <w:rsid w:val="00A347E1"/>
    <w:rsid w:val="00A92AAF"/>
    <w:rsid w:val="00AC3117"/>
    <w:rsid w:val="00AE4D92"/>
    <w:rsid w:val="00B27E8B"/>
    <w:rsid w:val="00BB721E"/>
    <w:rsid w:val="00BD66E4"/>
    <w:rsid w:val="00BF72E8"/>
    <w:rsid w:val="00C462DE"/>
    <w:rsid w:val="00C64B8F"/>
    <w:rsid w:val="00C806D0"/>
    <w:rsid w:val="00CA0123"/>
    <w:rsid w:val="00CC5CCD"/>
    <w:rsid w:val="00CD1611"/>
    <w:rsid w:val="00CF0F5C"/>
    <w:rsid w:val="00D479CA"/>
    <w:rsid w:val="00D714F2"/>
    <w:rsid w:val="00DC6B01"/>
    <w:rsid w:val="00DF2C80"/>
    <w:rsid w:val="00DF368B"/>
    <w:rsid w:val="00DF7F49"/>
    <w:rsid w:val="00E05E8A"/>
    <w:rsid w:val="00E1754F"/>
    <w:rsid w:val="00E301C4"/>
    <w:rsid w:val="00E43985"/>
    <w:rsid w:val="00E92123"/>
    <w:rsid w:val="00EA5060"/>
    <w:rsid w:val="00EA678F"/>
    <w:rsid w:val="00F228B4"/>
    <w:rsid w:val="00F53843"/>
    <w:rsid w:val="00FD3E1B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117"/>
    <w:pPr>
      <w:jc w:val="center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C3117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AC3117"/>
    <w:pPr>
      <w:widowControl/>
      <w:ind w:firstLine="70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1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lock Text"/>
    <w:basedOn w:val="a"/>
    <w:rsid w:val="00A347E1"/>
    <w:pPr>
      <w:widowControl/>
      <w:autoSpaceDE/>
      <w:autoSpaceDN/>
      <w:ind w:left="567" w:right="-284"/>
      <w:jc w:val="both"/>
    </w:pPr>
    <w:rPr>
      <w:sz w:val="28"/>
      <w:szCs w:val="25"/>
    </w:rPr>
  </w:style>
  <w:style w:type="character" w:styleId="a8">
    <w:name w:val="Hyperlink"/>
    <w:basedOn w:val="a0"/>
    <w:uiPriority w:val="99"/>
    <w:unhideWhenUsed/>
    <w:rsid w:val="00EA506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3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117"/>
    <w:pPr>
      <w:jc w:val="center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C3117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AC3117"/>
    <w:pPr>
      <w:widowControl/>
      <w:ind w:firstLine="70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1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lock Text"/>
    <w:basedOn w:val="a"/>
    <w:rsid w:val="00A347E1"/>
    <w:pPr>
      <w:widowControl/>
      <w:autoSpaceDE/>
      <w:autoSpaceDN/>
      <w:ind w:left="567" w:right="-284"/>
      <w:jc w:val="both"/>
    </w:pPr>
    <w:rPr>
      <w:sz w:val="28"/>
      <w:szCs w:val="25"/>
    </w:rPr>
  </w:style>
  <w:style w:type="character" w:styleId="a8">
    <w:name w:val="Hyperlink"/>
    <w:basedOn w:val="a0"/>
    <w:uiPriority w:val="99"/>
    <w:unhideWhenUsed/>
    <w:rsid w:val="00EA506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F2EB-6FF0-4EE0-8B83-14970A1C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Spec_PKiJR</cp:lastModifiedBy>
  <cp:revision>6</cp:revision>
  <cp:lastPrinted>2019-03-11T01:54:00Z</cp:lastPrinted>
  <dcterms:created xsi:type="dcterms:W3CDTF">2019-03-05T05:58:00Z</dcterms:created>
  <dcterms:modified xsi:type="dcterms:W3CDTF">2019-03-12T03:09:00Z</dcterms:modified>
</cp:coreProperties>
</file>