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BF" w:rsidRPr="009904AF" w:rsidRDefault="00DE6CBF" w:rsidP="009904AF">
      <w:pPr>
        <w:jc w:val="right"/>
        <w:rPr>
          <w:bCs/>
          <w:caps/>
          <w:sz w:val="28"/>
          <w:szCs w:val="28"/>
          <w:lang w:eastAsia="ru-RU"/>
        </w:rPr>
      </w:pPr>
    </w:p>
    <w:p w:rsidR="00DE6CBF" w:rsidRPr="002659C3" w:rsidRDefault="004F2C99" w:rsidP="00722335">
      <w:pPr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cap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3pt;visibility:visible">
            <v:imagedata r:id="rId6" o:title="" gain="86232f" blacklevel="-1966f" grayscale="t"/>
          </v:shape>
        </w:pic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b/>
          <w:bCs/>
          <w:caps/>
          <w:sz w:val="28"/>
          <w:szCs w:val="28"/>
          <w:lang w:eastAsia="ru-RU"/>
        </w:rPr>
        <w:t>новосибирской области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>третьего созыва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(пятнадцатая внеочередная </w:t>
      </w:r>
      <w:r w:rsidRPr="002659C3">
        <w:rPr>
          <w:sz w:val="28"/>
          <w:szCs w:val="28"/>
          <w:lang w:eastAsia="ru-RU"/>
        </w:rPr>
        <w:t>сессия)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</w:p>
    <w:p w:rsidR="00DE6CBF" w:rsidRPr="002659C3" w:rsidRDefault="00DE6CBF" w:rsidP="00722335">
      <w:pPr>
        <w:jc w:val="center"/>
        <w:rPr>
          <w:b/>
          <w:sz w:val="28"/>
          <w:szCs w:val="28"/>
          <w:lang w:eastAsia="ru-RU"/>
        </w:rPr>
      </w:pPr>
      <w:r w:rsidRPr="002659C3">
        <w:rPr>
          <w:b/>
          <w:sz w:val="28"/>
          <w:szCs w:val="28"/>
          <w:lang w:eastAsia="ru-RU"/>
        </w:rPr>
        <w:t>РЕШЕНИЕ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                                                  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от  28.03</w:t>
      </w:r>
      <w:r w:rsidRPr="00C67C87">
        <w:rPr>
          <w:sz w:val="28"/>
          <w:szCs w:val="28"/>
          <w:lang w:eastAsia="ru-RU"/>
        </w:rPr>
        <w:t xml:space="preserve">.2017 г.      </w:t>
      </w:r>
      <w:r>
        <w:rPr>
          <w:sz w:val="28"/>
          <w:szCs w:val="28"/>
          <w:lang w:eastAsia="ru-RU"/>
        </w:rPr>
        <w:t xml:space="preserve">                       </w:t>
      </w:r>
      <w:r w:rsidRPr="00C67C87"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                                      № 138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DE6CBF" w:rsidRPr="009904AF" w:rsidRDefault="00DE6CBF" w:rsidP="009904AF">
      <w:pPr>
        <w:jc w:val="center"/>
        <w:rPr>
          <w:sz w:val="28"/>
          <w:szCs w:val="28"/>
          <w:lang w:eastAsia="ru-RU"/>
        </w:rPr>
      </w:pPr>
      <w:r w:rsidRPr="009904AF">
        <w:rPr>
          <w:sz w:val="28"/>
          <w:szCs w:val="28"/>
          <w:lang w:eastAsia="ru-RU"/>
        </w:rPr>
        <w:t xml:space="preserve">О внесении изменений в Положение об оплате труда лиц, замещающих муниципальные должности, действующих на постоянной основе, муниципальных служащих  и </w:t>
      </w:r>
      <w:r w:rsidRPr="009904AF">
        <w:rPr>
          <w:sz w:val="28"/>
          <w:szCs w:val="28"/>
        </w:rPr>
        <w:t xml:space="preserve">лиц, исполняющих </w:t>
      </w:r>
      <w:r w:rsidRPr="009904AF">
        <w:rPr>
          <w:sz w:val="28"/>
          <w:szCs w:val="28"/>
        </w:rPr>
        <w:tab/>
        <w:t xml:space="preserve">обязанности по техническому обеспечению деятельности органов местного самоуправления </w:t>
      </w:r>
      <w:r w:rsidRPr="009904AF">
        <w:rPr>
          <w:sz w:val="28"/>
          <w:szCs w:val="28"/>
          <w:lang w:eastAsia="ru-RU"/>
        </w:rPr>
        <w:t>в органах местного самоуправления</w:t>
      </w:r>
      <w:r w:rsidRPr="009904AF">
        <w:rPr>
          <w:sz w:val="28"/>
          <w:szCs w:val="28"/>
        </w:rPr>
        <w:t xml:space="preserve"> </w:t>
      </w:r>
      <w:r w:rsidRPr="009904AF">
        <w:rPr>
          <w:sz w:val="28"/>
          <w:szCs w:val="28"/>
          <w:lang w:eastAsia="ru-RU"/>
        </w:rPr>
        <w:t xml:space="preserve">Усть-Таркского района Новосибирской области, утвержденное решением шестой сессии Совета депутатов </w:t>
      </w:r>
      <w:r>
        <w:rPr>
          <w:sz w:val="28"/>
          <w:szCs w:val="28"/>
          <w:lang w:eastAsia="ru-RU"/>
        </w:rPr>
        <w:t xml:space="preserve">             </w:t>
      </w:r>
      <w:r w:rsidRPr="009904AF">
        <w:rPr>
          <w:sz w:val="28"/>
          <w:szCs w:val="28"/>
          <w:lang w:eastAsia="ru-RU"/>
        </w:rPr>
        <w:t>Усть-Таркского района от 14.04.2016 года № 58.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</w:t>
      </w:r>
    </w:p>
    <w:p w:rsidR="00DE6CBF" w:rsidRPr="00C67C87" w:rsidRDefault="00DE6CBF" w:rsidP="00707CD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              В соответствии с  постановлением Правительства Новосибирской области от 31.01.2017 № 20-п «О нормативах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r w:rsidR="004F2C99">
        <w:rPr>
          <w:sz w:val="28"/>
          <w:szCs w:val="28"/>
          <w:lang w:eastAsia="ru-RU"/>
        </w:rPr>
        <w:t xml:space="preserve">Усть-Таркского </w:t>
      </w:r>
      <w:bookmarkStart w:id="0" w:name="_GoBack"/>
      <w:bookmarkEnd w:id="0"/>
      <w:r w:rsidRPr="00C67C87">
        <w:rPr>
          <w:sz w:val="28"/>
          <w:szCs w:val="28"/>
          <w:lang w:eastAsia="ru-RU"/>
        </w:rPr>
        <w:t>района Новосибирской области РЕШИЛ:</w:t>
      </w:r>
    </w:p>
    <w:p w:rsidR="00DE6CBF" w:rsidRPr="00C67C87" w:rsidRDefault="00DE6CBF" w:rsidP="00707CD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1. Внести следующие изменения в решение </w:t>
      </w:r>
      <w:r>
        <w:rPr>
          <w:sz w:val="28"/>
          <w:szCs w:val="28"/>
          <w:lang w:eastAsia="ru-RU"/>
        </w:rPr>
        <w:t xml:space="preserve">шестой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>Усть-Таркского района от 14</w:t>
      </w:r>
      <w:r w:rsidRPr="00C67C87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4.2016 года № 5</w:t>
      </w:r>
      <w:r w:rsidRPr="00C67C87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</w:t>
      </w:r>
      <w:r w:rsidRPr="00C67C87">
        <w:rPr>
          <w:sz w:val="28"/>
          <w:szCs w:val="28"/>
          <w:lang w:eastAsia="ru-RU"/>
        </w:rPr>
        <w:t xml:space="preserve"> «</w:t>
      </w:r>
      <w:r w:rsidRPr="00C55012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й</w:t>
      </w:r>
      <w:r w:rsidRPr="00C55012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 xml:space="preserve">б оплате труда лиц, замещающих муниципальные должности, действующих на постоянной основе, муниципальных служащих  </w:t>
      </w:r>
      <w:r w:rsidRPr="001364F9">
        <w:rPr>
          <w:sz w:val="28"/>
          <w:szCs w:val="28"/>
          <w:lang w:eastAsia="ru-RU"/>
        </w:rPr>
        <w:t xml:space="preserve">и </w:t>
      </w:r>
      <w:r w:rsidRPr="001364F9">
        <w:rPr>
          <w:sz w:val="28"/>
          <w:szCs w:val="28"/>
        </w:rPr>
        <w:t>л</w:t>
      </w:r>
      <w:r>
        <w:rPr>
          <w:sz w:val="28"/>
          <w:szCs w:val="28"/>
        </w:rPr>
        <w:t>иц, исполняющих</w:t>
      </w:r>
      <w:r w:rsidRPr="001364F9">
        <w:rPr>
          <w:sz w:val="28"/>
          <w:szCs w:val="28"/>
        </w:rPr>
        <w:t xml:space="preserve"> обязанности по </w:t>
      </w:r>
      <w:r>
        <w:rPr>
          <w:sz w:val="28"/>
          <w:szCs w:val="28"/>
        </w:rPr>
        <w:t>т</w:t>
      </w:r>
      <w:r w:rsidRPr="001364F9">
        <w:rPr>
          <w:sz w:val="28"/>
          <w:szCs w:val="28"/>
        </w:rPr>
        <w:t>ехническому обеспечению деятельности органов местного</w:t>
      </w:r>
      <w:r>
        <w:rPr>
          <w:sz w:val="28"/>
          <w:szCs w:val="28"/>
        </w:rPr>
        <w:t xml:space="preserve"> </w:t>
      </w:r>
      <w:r w:rsidRPr="001364F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 органах местного самоуправления Усть-Таркского района Новосибирской области</w:t>
      </w:r>
      <w:r w:rsidRPr="00C67C87">
        <w:rPr>
          <w:sz w:val="28"/>
          <w:szCs w:val="28"/>
          <w:lang w:eastAsia="ru-RU"/>
        </w:rPr>
        <w:t>»: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C67C87">
        <w:rPr>
          <w:sz w:val="28"/>
          <w:szCs w:val="28"/>
          <w:lang w:eastAsia="ru-RU"/>
        </w:rPr>
        <w:t>1.1. в преамбуле решения слова «Постановлением Губернатора Новосибирской области от 28.12.2007 № 206-па "О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области" заменить словами «Постановлением Правительства Новосибирской области от 31.01.2017 № 20-п «О нормативах формирования  расходов на оплату труда депутатов, выборных должностных лиц местного самоуправления, осуществляющих</w:t>
      </w:r>
      <w:proofErr w:type="gramEnd"/>
      <w:r w:rsidRPr="00C67C87">
        <w:rPr>
          <w:sz w:val="28"/>
          <w:szCs w:val="28"/>
          <w:lang w:eastAsia="ru-RU"/>
        </w:rPr>
        <w:t xml:space="preserve"> свои полномочия на постоянной основе, муниципальных служащих и (или) </w:t>
      </w:r>
      <w:r w:rsidRPr="00C67C87">
        <w:rPr>
          <w:sz w:val="28"/>
          <w:szCs w:val="28"/>
          <w:lang w:eastAsia="ru-RU"/>
        </w:rPr>
        <w:lastRenderedPageBreak/>
        <w:t>содержание органов местного самоуправления муниципальных образований Новосибирской области»;</w:t>
      </w:r>
    </w:p>
    <w:p w:rsidR="00DE6CBF" w:rsidRDefault="00DE6CBF" w:rsidP="00722335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2. Внести следующие изменения в </w:t>
      </w:r>
      <w:r w:rsidRPr="00C55012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 xml:space="preserve">е </w:t>
      </w:r>
      <w:r w:rsidRPr="00C5501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б оплате труда лиц, замещающих муниципальные должности, действующих на постоянной основе, муниципальных служащих  </w:t>
      </w:r>
      <w:r w:rsidRPr="001364F9">
        <w:rPr>
          <w:sz w:val="28"/>
          <w:szCs w:val="28"/>
          <w:lang w:eastAsia="ru-RU"/>
        </w:rPr>
        <w:t xml:space="preserve">и </w:t>
      </w:r>
      <w:r w:rsidRPr="001364F9">
        <w:rPr>
          <w:sz w:val="28"/>
          <w:szCs w:val="28"/>
        </w:rPr>
        <w:t>л</w:t>
      </w:r>
      <w:r>
        <w:rPr>
          <w:sz w:val="28"/>
          <w:szCs w:val="28"/>
        </w:rPr>
        <w:t>иц, исполняющих</w:t>
      </w:r>
      <w:r w:rsidRPr="001364F9">
        <w:rPr>
          <w:sz w:val="28"/>
          <w:szCs w:val="28"/>
        </w:rPr>
        <w:t xml:space="preserve"> обязанности по </w:t>
      </w:r>
      <w:r>
        <w:rPr>
          <w:sz w:val="28"/>
          <w:szCs w:val="28"/>
        </w:rPr>
        <w:t>т</w:t>
      </w:r>
      <w:r w:rsidRPr="001364F9">
        <w:rPr>
          <w:sz w:val="28"/>
          <w:szCs w:val="28"/>
        </w:rPr>
        <w:t>ехническому обеспечению деятельности органов местного</w:t>
      </w:r>
      <w:r>
        <w:rPr>
          <w:sz w:val="28"/>
          <w:szCs w:val="28"/>
          <w:lang w:eastAsia="ru-RU"/>
        </w:rPr>
        <w:t xml:space="preserve"> </w:t>
      </w:r>
      <w:r w:rsidRPr="001364F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 органах местного самоуправления Усть-Таркского района Новосибирской области</w:t>
      </w:r>
      <w:r w:rsidRPr="00C67C87">
        <w:rPr>
          <w:sz w:val="28"/>
          <w:szCs w:val="28"/>
          <w:lang w:eastAsia="ru-RU"/>
        </w:rPr>
        <w:t>,   утвержденное</w:t>
      </w:r>
      <w:r w:rsidRPr="00722335">
        <w:rPr>
          <w:sz w:val="28"/>
          <w:szCs w:val="28"/>
          <w:lang w:eastAsia="ru-RU"/>
        </w:rPr>
        <w:t xml:space="preserve"> </w:t>
      </w:r>
      <w:r w:rsidRPr="00C67C87">
        <w:rPr>
          <w:sz w:val="28"/>
          <w:szCs w:val="28"/>
          <w:lang w:eastAsia="ru-RU"/>
        </w:rPr>
        <w:t xml:space="preserve">решение </w:t>
      </w:r>
      <w:r>
        <w:rPr>
          <w:sz w:val="28"/>
          <w:szCs w:val="28"/>
          <w:lang w:eastAsia="ru-RU"/>
        </w:rPr>
        <w:t xml:space="preserve">шестой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>Усть-Таркского района от 14</w:t>
      </w:r>
      <w:r w:rsidRPr="00C67C87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4.2016 года № 5</w:t>
      </w:r>
      <w:r w:rsidRPr="00C67C87">
        <w:rPr>
          <w:sz w:val="28"/>
          <w:szCs w:val="28"/>
          <w:lang w:eastAsia="ru-RU"/>
        </w:rPr>
        <w:t>8:</w:t>
      </w:r>
    </w:p>
    <w:p w:rsidR="00DE6CBF" w:rsidRPr="00C67C87" w:rsidRDefault="00DE6CBF" w:rsidP="00F9278B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 </w:t>
      </w:r>
      <w:proofErr w:type="gramStart"/>
      <w:r>
        <w:rPr>
          <w:sz w:val="28"/>
          <w:szCs w:val="28"/>
          <w:lang w:eastAsia="ru-RU"/>
        </w:rPr>
        <w:t>В пункте 1.1.</w:t>
      </w:r>
      <w:r w:rsidRPr="00F8226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приложения №1 к</w:t>
      </w:r>
      <w:r w:rsidRPr="00F927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решению</w:t>
      </w:r>
      <w:r w:rsidRPr="00C67C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шестой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>Усть-Таркского района от 14</w:t>
      </w:r>
      <w:r w:rsidRPr="00C67C87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4.2016 года № 5</w:t>
      </w:r>
      <w:r w:rsidRPr="00C67C87">
        <w:rPr>
          <w:sz w:val="28"/>
          <w:szCs w:val="28"/>
          <w:lang w:eastAsia="ru-RU"/>
        </w:rPr>
        <w:t>8</w:t>
      </w:r>
      <w:r w:rsidRPr="00F927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«Положения </w:t>
      </w:r>
      <w:r w:rsidRPr="00C5501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б оплате труда лиц, замещающих муниципальные должности, действующих на постоянной основе, муниципальных служащих органах местного самоуправления  Усть-Таркского района Новосибирской области», </w:t>
      </w:r>
      <w:r w:rsidRPr="00C67C87">
        <w:rPr>
          <w:sz w:val="28"/>
          <w:szCs w:val="28"/>
          <w:lang w:eastAsia="ru-RU"/>
        </w:rPr>
        <w:t>слова «Постановлением Губернатора Новосибирской области от 28.12.2007 № 206-па "О нормативах формирования расходов на оплату труда лиц, замещающих муниципальные должности, действующих на постоянной</w:t>
      </w:r>
      <w:proofErr w:type="gramEnd"/>
      <w:r w:rsidRPr="00C67C87">
        <w:rPr>
          <w:sz w:val="28"/>
          <w:szCs w:val="28"/>
          <w:lang w:eastAsia="ru-RU"/>
        </w:rPr>
        <w:t xml:space="preserve"> </w:t>
      </w:r>
      <w:proofErr w:type="gramStart"/>
      <w:r w:rsidRPr="00C67C87">
        <w:rPr>
          <w:sz w:val="28"/>
          <w:szCs w:val="28"/>
          <w:lang w:eastAsia="ru-RU"/>
        </w:rPr>
        <w:t>основе, муниципальных служащих и содержание органов местного самоуправления в Новосибирской области" заменить словами «Постановлением Правительства Новосибирской области от 31.01.2017 № 20-п «О нормативах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proofErr w:type="gramEnd"/>
    </w:p>
    <w:p w:rsidR="00DE6CBF" w:rsidRPr="00F9278B" w:rsidRDefault="00DE6CBF" w:rsidP="00F9278B">
      <w:pPr>
        <w:jc w:val="both"/>
      </w:pPr>
      <w:r>
        <w:rPr>
          <w:sz w:val="28"/>
          <w:szCs w:val="28"/>
          <w:lang w:eastAsia="ru-RU"/>
        </w:rPr>
        <w:t>2.2.  Пункт</w:t>
      </w:r>
      <w:r w:rsidRPr="00C67C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3.8 приложение №1 к</w:t>
      </w:r>
      <w:r w:rsidRPr="00F927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решению</w:t>
      </w:r>
      <w:r w:rsidRPr="00C67C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шестой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>Усть-Таркского района от 14</w:t>
      </w:r>
      <w:r w:rsidRPr="00C67C87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4.2016 года № 5</w:t>
      </w:r>
      <w:r w:rsidRPr="00C67C87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«Положения </w:t>
      </w:r>
      <w:r w:rsidRPr="00C5501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б оплате труда лиц, замещающих муниципальные должности, действующих на постоянной основе, муниципальных служащих органах местного самоуправления  Усть-Таркского района Новосибирской области», </w:t>
      </w:r>
      <w:r w:rsidRPr="00C67C87">
        <w:rPr>
          <w:sz w:val="28"/>
          <w:szCs w:val="28"/>
          <w:lang w:eastAsia="ru-RU"/>
        </w:rPr>
        <w:t>изложить в новой редакции:</w:t>
      </w:r>
    </w:p>
    <w:p w:rsidR="00DE6CBF" w:rsidRDefault="00DE6CBF" w:rsidP="00F9278B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«Ежемесячное денежное поощрение к должностному окладу муниципального служащего устанавливается </w:t>
      </w:r>
      <w:r>
        <w:rPr>
          <w:sz w:val="28"/>
          <w:szCs w:val="28"/>
          <w:lang w:eastAsia="ru-RU"/>
        </w:rPr>
        <w:t xml:space="preserve">следующих </w:t>
      </w:r>
      <w:proofErr w:type="gramStart"/>
      <w:r>
        <w:rPr>
          <w:sz w:val="28"/>
          <w:szCs w:val="28"/>
          <w:lang w:eastAsia="ru-RU"/>
        </w:rPr>
        <w:t>размерах</w:t>
      </w:r>
      <w:proofErr w:type="gramEnd"/>
      <w:r>
        <w:rPr>
          <w:sz w:val="28"/>
          <w:szCs w:val="28"/>
          <w:lang w:eastAsia="ru-RU"/>
        </w:rPr>
        <w:t>:</w:t>
      </w:r>
    </w:p>
    <w:p w:rsidR="00DE6CBF" w:rsidRPr="00C67C87" w:rsidRDefault="00DE6CBF" w:rsidP="00F9278B">
      <w:pPr>
        <w:widowControl/>
        <w:suppressAutoHyphens w:val="0"/>
        <w:overflowPunct w:val="0"/>
        <w:autoSpaceDN w:val="0"/>
        <w:adjustRightInd w:val="0"/>
        <w:jc w:val="right"/>
        <w:textAlignment w:val="baseline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5"/>
        <w:gridCol w:w="3988"/>
      </w:tblGrid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Норматив ежемесячного денежного поощрения (ЕДП)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pacing w:val="-2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2,0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2,0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2,0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2,3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2,3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2,5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Инспектор контрольно-счетного органа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3,05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3,05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3,05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Специалист 1-го разряда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3,05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Специалист 2-го разряда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3,05</w:t>
            </w:r>
          </w:p>
        </w:tc>
      </w:tr>
      <w:tr w:rsidR="00DE6CBF" w:rsidRPr="00C67C87" w:rsidTr="00D4024A">
        <w:tc>
          <w:tcPr>
            <w:tcW w:w="6048" w:type="dxa"/>
          </w:tcPr>
          <w:p w:rsidR="00DE6CBF" w:rsidRPr="00C67C87" w:rsidRDefault="00DE6CBF" w:rsidP="00D4024A">
            <w:pPr>
              <w:widowControl/>
              <w:shd w:val="clear" w:color="auto" w:fill="FFFFFF"/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4089" w:type="dxa"/>
          </w:tcPr>
          <w:p w:rsidR="00DE6CBF" w:rsidRPr="00C67C87" w:rsidRDefault="00DE6CBF" w:rsidP="00D4024A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67C87">
              <w:rPr>
                <w:sz w:val="28"/>
                <w:szCs w:val="28"/>
                <w:lang w:eastAsia="ru-RU"/>
              </w:rPr>
              <w:t>1,5 – 3,05</w:t>
            </w:r>
          </w:p>
        </w:tc>
      </w:tr>
    </w:tbl>
    <w:p w:rsidR="00DE6CBF" w:rsidRPr="00C67C87" w:rsidRDefault="00DE6CBF" w:rsidP="00F9278B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AE214A" w:rsidRDefault="00DE6CBF" w:rsidP="00F82268">
      <w:pPr>
        <w:ind w:firstLine="709"/>
        <w:jc w:val="both"/>
        <w:rPr>
          <w:color w:val="000000"/>
          <w:sz w:val="28"/>
        </w:rPr>
      </w:pPr>
      <w:r w:rsidRPr="00AE214A">
        <w:rPr>
          <w:color w:val="000000"/>
          <w:sz w:val="28"/>
        </w:rPr>
        <w:t xml:space="preserve">Конкретный размер ежемесячного денежного поощрения муниципального служащего определяется </w:t>
      </w:r>
      <w:r w:rsidRPr="00AE214A">
        <w:rPr>
          <w:color w:val="000000"/>
          <w:sz w:val="28"/>
          <w:szCs w:val="28"/>
        </w:rPr>
        <w:t>правовым актом представителя нанимателя (работодателя)</w:t>
      </w:r>
      <w:r w:rsidRPr="00AE214A">
        <w:rPr>
          <w:color w:val="000000"/>
          <w:sz w:val="28"/>
        </w:rPr>
        <w:t xml:space="preserve"> в зависимости от личного вклада муниципального служащего в результаты деятельности </w:t>
      </w:r>
      <w:r w:rsidRPr="00AE214A">
        <w:rPr>
          <w:color w:val="000000"/>
          <w:sz w:val="28"/>
          <w:szCs w:val="28"/>
        </w:rPr>
        <w:t>органа местного самоуправления/муниципального органа</w:t>
      </w:r>
      <w:r w:rsidRPr="00AE214A">
        <w:rPr>
          <w:color w:val="000000"/>
          <w:sz w:val="28"/>
        </w:rPr>
        <w:t>.</w:t>
      </w:r>
    </w:p>
    <w:p w:rsidR="00DE6CBF" w:rsidRPr="00AE214A" w:rsidRDefault="00DE6CBF" w:rsidP="00F82268">
      <w:pPr>
        <w:ind w:firstLine="709"/>
        <w:jc w:val="both"/>
        <w:rPr>
          <w:color w:val="000000"/>
          <w:sz w:val="28"/>
        </w:rPr>
      </w:pPr>
      <w:r w:rsidRPr="00AE214A">
        <w:rPr>
          <w:color w:val="000000"/>
          <w:sz w:val="28"/>
        </w:rPr>
        <w:t>При определении конкретного размера ежемесячного денежного поощрения учитываются:</w:t>
      </w:r>
    </w:p>
    <w:p w:rsidR="00DE6CBF" w:rsidRPr="00AE214A" w:rsidRDefault="00DE6CBF" w:rsidP="00F8226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</w:t>
      </w:r>
      <w:r w:rsidRPr="00AE214A">
        <w:rPr>
          <w:color w:val="000000"/>
          <w:sz w:val="28"/>
        </w:rPr>
        <w:t>профессиональная компетентность муниципальных служащих;</w:t>
      </w:r>
    </w:p>
    <w:p w:rsidR="00DE6CBF" w:rsidRPr="00AE214A" w:rsidRDefault="00DE6CBF" w:rsidP="00F8226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</w:t>
      </w:r>
      <w:r w:rsidRPr="00AE214A">
        <w:rPr>
          <w:color w:val="000000"/>
          <w:sz w:val="28"/>
        </w:rPr>
        <w:t>уровень исполнительской дисциплины;</w:t>
      </w:r>
    </w:p>
    <w:p w:rsidR="00DE6CBF" w:rsidRPr="00AE214A" w:rsidRDefault="00DE6CBF" w:rsidP="00F8226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</w:t>
      </w:r>
      <w:r w:rsidRPr="00AE214A">
        <w:rPr>
          <w:color w:val="000000"/>
          <w:sz w:val="28"/>
        </w:rPr>
        <w:t>опыт профессиональной служебной деятельности;</w:t>
      </w:r>
    </w:p>
    <w:p w:rsidR="00DE6CBF" w:rsidRPr="00AE214A" w:rsidRDefault="00DE6CBF" w:rsidP="00F8226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г) </w:t>
      </w:r>
      <w:r w:rsidRPr="00AE214A">
        <w:rPr>
          <w:color w:val="000000"/>
          <w:sz w:val="28"/>
        </w:rPr>
        <w:t>степень самостоятельности и ответственности, инициатива;</w:t>
      </w:r>
    </w:p>
    <w:p w:rsidR="00DE6CBF" w:rsidRPr="00AE214A" w:rsidRDefault="00DE6CBF" w:rsidP="00F8226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д) </w:t>
      </w:r>
      <w:r w:rsidRPr="00AE214A">
        <w:rPr>
          <w:color w:val="000000"/>
          <w:sz w:val="28"/>
        </w:rPr>
        <w:t>творческое отношение к исполнению должностных обязанностей;</w:t>
      </w:r>
    </w:p>
    <w:p w:rsidR="00DE6CBF" w:rsidRPr="00F82268" w:rsidRDefault="00DE6CBF" w:rsidP="00F82268">
      <w:pPr>
        <w:autoSpaceDN w:val="0"/>
        <w:adjustRightInd w:val="0"/>
        <w:ind w:firstLine="741"/>
        <w:jc w:val="both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lang w:eastAsia="ru-RU"/>
        </w:rPr>
        <w:t xml:space="preserve">е) </w:t>
      </w:r>
      <w:r w:rsidRPr="00AE214A">
        <w:rPr>
          <w:color w:val="000000"/>
          <w:sz w:val="28"/>
          <w:lang w:eastAsia="ru-RU"/>
        </w:rPr>
        <w:t>новизна вырабатываемых и предлагаемых решений, применение в работе со</w:t>
      </w:r>
      <w:r>
        <w:rPr>
          <w:color w:val="000000"/>
          <w:sz w:val="28"/>
          <w:lang w:eastAsia="ru-RU"/>
        </w:rPr>
        <w:t>временных форм и методов работы</w:t>
      </w:r>
      <w:r w:rsidRPr="00AE214A">
        <w:rPr>
          <w:color w:val="000000"/>
          <w:sz w:val="28"/>
          <w:lang w:eastAsia="ru-RU"/>
        </w:rPr>
        <w:t>.</w:t>
      </w:r>
      <w:r w:rsidRPr="00AE214A">
        <w:rPr>
          <w:color w:val="000000"/>
          <w:sz w:val="28"/>
          <w:szCs w:val="24"/>
          <w:lang w:eastAsia="ru-RU"/>
        </w:rPr>
        <w:t> 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>3. Действие настоящего решения распространяется на отношения, возникшие с 1 января 2017 года.</w:t>
      </w:r>
    </w:p>
    <w:p w:rsidR="00DE6CBF" w:rsidRPr="005A3604" w:rsidRDefault="00DE6CBF" w:rsidP="005465B0">
      <w:pPr>
        <w:pStyle w:val="a5"/>
        <w:numPr>
          <w:ilvl w:val="0"/>
          <w:numId w:val="1"/>
        </w:numPr>
        <w:tabs>
          <w:tab w:val="left" w:pos="71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604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Бюллетене органов местного самоуправления Усть-Таркского района, а также разместить на официальном сайте </w:t>
      </w:r>
      <w:r w:rsidRPr="009904AF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9904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904AF">
        <w:rPr>
          <w:rFonts w:ascii="Times New Roman" w:hAnsi="Times New Roman"/>
          <w:sz w:val="28"/>
          <w:szCs w:val="28"/>
          <w:u w:val="single"/>
          <w:lang w:val="en-US"/>
        </w:rPr>
        <w:t>ust</w:t>
      </w:r>
      <w:proofErr w:type="spellEnd"/>
      <w:r w:rsidRPr="009904AF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9904AF">
        <w:rPr>
          <w:rFonts w:ascii="Times New Roman" w:hAnsi="Times New Roman"/>
          <w:sz w:val="28"/>
          <w:szCs w:val="28"/>
          <w:u w:val="single"/>
          <w:lang w:val="en-US"/>
        </w:rPr>
        <w:t>tarka</w:t>
      </w:r>
      <w:proofErr w:type="spellEnd"/>
      <w:r w:rsidRPr="009904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904AF">
        <w:rPr>
          <w:rFonts w:ascii="Times New Roman" w:hAnsi="Times New Roman"/>
          <w:sz w:val="28"/>
          <w:szCs w:val="28"/>
          <w:u w:val="single"/>
          <w:lang w:val="en-US"/>
        </w:rPr>
        <w:t>nso</w:t>
      </w:r>
      <w:proofErr w:type="spellEnd"/>
      <w:r w:rsidRPr="009904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904A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B199C">
        <w:rPr>
          <w:sz w:val="28"/>
          <w:szCs w:val="28"/>
        </w:rPr>
        <w:t xml:space="preserve"> </w:t>
      </w:r>
      <w:r w:rsidRPr="005A3604">
        <w:rPr>
          <w:rFonts w:ascii="Times New Roman" w:hAnsi="Times New Roman"/>
          <w:sz w:val="28"/>
          <w:szCs w:val="28"/>
          <w:lang w:eastAsia="ru-RU"/>
        </w:rPr>
        <w:t>администрации Усть-Таркского района.</w:t>
      </w:r>
    </w:p>
    <w:p w:rsidR="00DE6CBF" w:rsidRPr="005A3604" w:rsidRDefault="00DE6CBF" w:rsidP="005465B0">
      <w:pPr>
        <w:pStyle w:val="a5"/>
        <w:widowControl w:val="0"/>
        <w:numPr>
          <w:ilvl w:val="0"/>
          <w:numId w:val="1"/>
        </w:numPr>
        <w:tabs>
          <w:tab w:val="left" w:pos="710"/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604">
        <w:rPr>
          <w:rFonts w:ascii="Times New Roman" w:hAnsi="Times New Roman"/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DE6CBF" w:rsidRPr="009904AF" w:rsidRDefault="00DE6CBF" w:rsidP="005465B0">
      <w:pPr>
        <w:numPr>
          <w:ilvl w:val="0"/>
          <w:numId w:val="1"/>
        </w:numPr>
        <w:tabs>
          <w:tab w:val="left" w:pos="851"/>
        </w:tabs>
        <w:suppressAutoHyphens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proofErr w:type="gramStart"/>
      <w:r w:rsidRPr="009904AF">
        <w:rPr>
          <w:sz w:val="28"/>
          <w:szCs w:val="28"/>
          <w:lang w:eastAsia="ru-RU"/>
        </w:rPr>
        <w:t>Контроль за</w:t>
      </w:r>
      <w:proofErr w:type="gramEnd"/>
      <w:r w:rsidRPr="009904AF">
        <w:rPr>
          <w:sz w:val="28"/>
          <w:szCs w:val="28"/>
          <w:lang w:eastAsia="ru-RU"/>
        </w:rPr>
        <w:t xml:space="preserve"> исполнением решения возложить на</w:t>
      </w:r>
      <w:r w:rsidRPr="009904AF">
        <w:rPr>
          <w:sz w:val="28"/>
          <w:szCs w:val="28"/>
        </w:rPr>
        <w:t xml:space="preserve"> постоянно действующую комиссию по вопросам местного самоуправления, соблюдению законности и правопорядка, благоустройству и ЖКХ, связям с общественными организациями и СМИ, социальным вопросам Совета депутатов Усть-Таркского района Новосибирской области. </w:t>
      </w:r>
    </w:p>
    <w:p w:rsidR="00DE6CBF" w:rsidRPr="005465B0" w:rsidRDefault="00DE6CBF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 xml:space="preserve">Председатель Совета депутатов                     Глава Усть-Таркского района                       </w:t>
      </w: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>Усть-Таркского района                                    Новосибирской области</w:t>
      </w: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 xml:space="preserve">Новосибирской области                        </w:t>
      </w: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 xml:space="preserve">  ______________ Н.И. Синяков                      ______________ А.П. </w:t>
      </w:r>
      <w:proofErr w:type="spellStart"/>
      <w:r w:rsidRPr="002659C3">
        <w:rPr>
          <w:sz w:val="28"/>
          <w:szCs w:val="28"/>
          <w:lang w:eastAsia="ru-RU"/>
        </w:rPr>
        <w:t>Турлаков</w:t>
      </w:r>
      <w:proofErr w:type="spellEnd"/>
      <w:r w:rsidRPr="002659C3">
        <w:rPr>
          <w:sz w:val="28"/>
          <w:szCs w:val="28"/>
          <w:lang w:eastAsia="ru-RU"/>
        </w:rPr>
        <w:t xml:space="preserve"> </w:t>
      </w: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sectPr w:rsidR="00DE6CBF" w:rsidRPr="00C67C87" w:rsidSect="00707C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018"/>
    <w:multiLevelType w:val="hybridMultilevel"/>
    <w:tmpl w:val="85EE81E4"/>
    <w:lvl w:ilvl="0" w:tplc="324611E2">
      <w:start w:val="4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F59"/>
    <w:rsid w:val="000E1F59"/>
    <w:rsid w:val="001364F9"/>
    <w:rsid w:val="002659C3"/>
    <w:rsid w:val="002D6476"/>
    <w:rsid w:val="004F2C99"/>
    <w:rsid w:val="005465B0"/>
    <w:rsid w:val="005A3604"/>
    <w:rsid w:val="00707CD5"/>
    <w:rsid w:val="007157C6"/>
    <w:rsid w:val="00722335"/>
    <w:rsid w:val="007B199C"/>
    <w:rsid w:val="007C263A"/>
    <w:rsid w:val="008D732C"/>
    <w:rsid w:val="009904AF"/>
    <w:rsid w:val="009F2C0F"/>
    <w:rsid w:val="00AE214A"/>
    <w:rsid w:val="00C55012"/>
    <w:rsid w:val="00C67C87"/>
    <w:rsid w:val="00D4024A"/>
    <w:rsid w:val="00DE6CBF"/>
    <w:rsid w:val="00F82268"/>
    <w:rsid w:val="00F9278B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6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57C6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5465B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6</cp:revision>
  <cp:lastPrinted>2017-03-21T12:07:00Z</cp:lastPrinted>
  <dcterms:created xsi:type="dcterms:W3CDTF">2017-03-20T02:40:00Z</dcterms:created>
  <dcterms:modified xsi:type="dcterms:W3CDTF">2017-03-29T07:07:00Z</dcterms:modified>
</cp:coreProperties>
</file>